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530BC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Mücadele ve Atatürk / Yüzbaşı İsmail Hakkı Bey Karanlık Liman’ın Martısı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5530BC" w:rsidP="009D096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konu, </w:t>
            </w:r>
            <w:r w:rsidR="00732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hikâye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unsurları, özet, deyimler, fiillerde kip ve kişi, tablo okuma, anlatım biçimleri, bilgilendirici </w:t>
            </w:r>
            <w:r w:rsidR="007321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yazma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7F2ED3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bookmarkStart w:id="0" w:name="_GoBack"/>
            <w:bookmarkEnd w:id="0"/>
            <w:r w:rsidR="006F5CF5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T.7.3.2. Metni türün özelliklerine uygun biçimde okur.                                                                                                                 T.7.3.5. Bağlamdan hareketle bilmediği kelime ve kelime gruplarının anlamını tahmin eder.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T.7.3.6. Deyim ve atasözlerinin metne katkısını belirler.                                                                                                                T.7.3.9. Çekim eklerinin işlevlerini ayırt eder.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T.7.3.16. Metnin konusunu belirler.                                                                                                                                            T.7.3.27. Metinde önemli noktaların vurgulanış biçimlerini kavrar.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T.7.3.19. Metinle ilgili soruları cevaplar.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T.7.3.21. Metindeki hikâye unsurlarını belirler.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T.7.3.34. Grafik, tablo ve çizelgeyle sunulan bilgileri yorumlar.</w:t>
            </w:r>
          </w:p>
          <w:p w:rsidR="006F5CF5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T.7.3.36. Metindeki anlatım biçimlerini belirler.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T.7.2.4. Konuşmalarında beden dilini etkili bir şekilde kullanır.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T.7.4.2. Bilgilendirici metin yazar.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T.7.4.6. Bir işi işlem basamaklarına göre yazar.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T.7.4.9. Yazdıklarında yabancı dillerden alınmış, dilimize henüz yerleşmemiş kelimelerin Türkçelerini kullanır.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T.7.4.14. Araştırmalarının sonuçlarını yazılı olarak sunar.</w:t>
            </w:r>
          </w:p>
          <w:p w:rsidR="00067840" w:rsidRPr="00642ED5" w:rsidRDefault="00067840" w:rsidP="00067840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T.7.4.16. Yazdıklarını düzenler.</w:t>
            </w:r>
          </w:p>
        </w:tc>
      </w:tr>
      <w:tr w:rsidR="00AB1558" w:rsidRPr="002B1B7F" w:rsidTr="009A34FC">
        <w:trPr>
          <w:trHeight w:val="6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C4094C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Soru cevap, Sunuş, Buluş, </w:t>
            </w:r>
            <w:r w:rsidR="00067840">
              <w:rPr>
                <w:rFonts w:ascii="Times New Roman" w:hAnsi="Times New Roman" w:cs="Times New Roman"/>
                <w:bCs/>
                <w:color w:val="000000"/>
              </w:rPr>
              <w:t>İstasyon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0BC" w:rsidRDefault="000C683B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067840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Öğrencilere Nusret Mayın gemisi ile ilgili neler bildiği sorulur. Öğrencilerin verdiği cevaplardan hareketle metne hazırlık yapılır.</w:t>
            </w:r>
          </w:p>
          <w:p w:rsidR="005530BC" w:rsidRDefault="005530BC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Yüzbaşı İsmail hakkı Bey Karanlık Liman’ın Martısı adlı metni işleyeceğiz. Metin öğrencilere sessiz okuma yöntemi ile okutulacak. </w:t>
            </w:r>
          </w:p>
          <w:p w:rsidR="005530BC" w:rsidRDefault="005530BC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Okuma bittikten sonra metinde geçen badire, devriye, dümen, harp, kamara, kaptan köşkü, manevra,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projektör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, siren, tabip ve öğrencilerin belirleyeceği başka sözcüklerle metinden hareketle tahmin etme etkinliği yapılacak. Tahminlerin ardından sözcüklerin anlamı TDK sözlüğünden kontrol edilecek.</w:t>
            </w:r>
          </w:p>
          <w:p w:rsidR="005530BC" w:rsidRDefault="005530BC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Metinle ilgili sorular cevaplanacak. Bu sırada metnin içeri ile </w:t>
            </w:r>
            <w:r w:rsidR="00E11ECE">
              <w:rPr>
                <w:rFonts w:ascii="Times New Roman" w:hAnsi="Times New Roman"/>
                <w:sz w:val="22"/>
                <w:szCs w:val="22"/>
                <w:lang w:val="tr-TR" w:eastAsia="tr-TR"/>
              </w:rPr>
              <w:t>ilgili öğrenciler konuşturulacak.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konusu belirlenecek.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Metnin hikâye unsurları belirlenecek.</w:t>
            </w:r>
          </w:p>
          <w:p w:rsidR="00E11ECE" w:rsidRDefault="007321D0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Araştırma görevinden</w:t>
            </w:r>
            <w:r w:rsidR="00E11ECE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hareketle Cevat Paşa’nın başarıları özetlenecek.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Deyimlerle ilgili etkinlik yapılacak.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Fiillerde kip ve kişi ile ilgili etkinlik yapılacak.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verilen bir tablodan hareketle tablo okuma etkinliği yapılacak.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Anlatım biçimleri ile ilgili etkinlik yapılacak.</w:t>
            </w:r>
          </w:p>
          <w:p w:rsidR="00E11ECE" w:rsidRDefault="00E11ECE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Çanakkale savaşları konulu araştırmadan hareketle öğrencilere bilgilendirici bir yazı yazdırılacak.</w:t>
            </w:r>
          </w:p>
          <w:p w:rsidR="009A34FC" w:rsidRPr="00D66655" w:rsidRDefault="00D66655" w:rsidP="005530BC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</w:t>
            </w:r>
            <w:r w:rsidR="00192302" w:rsidRPr="00192302">
              <w:rPr>
                <w:rFonts w:ascii="Times New Roman" w:hAnsi="Times New Roman"/>
                <w:sz w:val="22"/>
                <w:szCs w:val="22"/>
                <w:lang w:val="tr-TR" w:eastAsia="tr-TR"/>
              </w:rPr>
              <w:t>elecek</w:t>
            </w:r>
            <w:r w:rsidR="005530B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derse hazırlık olarak Atatürk’ün okuma sevgisini yansıtan bir anısını öğrenme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40" w:rsidRDefault="00A61A4C" w:rsidP="000C683B">
            <w:pPr>
              <w:pStyle w:val="AralkYok"/>
              <w:rPr>
                <w:rFonts w:ascii="Times New Roman" w:hAnsi="Times New Roman" w:cs="Times New Roman"/>
              </w:rPr>
            </w:pPr>
            <w:r w:rsidRPr="00876A95">
              <w:rPr>
                <w:rFonts w:ascii="Times New Roman" w:hAnsi="Times New Roman" w:cs="Times New Roman"/>
                <w:b/>
              </w:rPr>
              <w:t>1-</w:t>
            </w:r>
            <w:r w:rsidR="00067840">
              <w:rPr>
                <w:rFonts w:ascii="Times New Roman" w:hAnsi="Times New Roman" w:cs="Times New Roman"/>
              </w:rPr>
              <w:t xml:space="preserve">Yanan </w:t>
            </w:r>
            <w:proofErr w:type="gramStart"/>
            <w:r w:rsidR="00067840">
              <w:rPr>
                <w:rFonts w:ascii="Times New Roman" w:hAnsi="Times New Roman" w:cs="Times New Roman"/>
              </w:rPr>
              <w:t>……</w:t>
            </w:r>
            <w:proofErr w:type="gramEnd"/>
            <w:r w:rsidR="000678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67840">
              <w:rPr>
                <w:rFonts w:ascii="Times New Roman" w:hAnsi="Times New Roman" w:cs="Times New Roman"/>
              </w:rPr>
              <w:t>gözlerimizi</w:t>
            </w:r>
            <w:proofErr w:type="gramEnd"/>
            <w:r w:rsidR="00067840">
              <w:rPr>
                <w:rFonts w:ascii="Times New Roman" w:hAnsi="Times New Roman" w:cs="Times New Roman"/>
              </w:rPr>
              <w:t xml:space="preserve"> alınca yolu iyi göremedik.</w:t>
            </w:r>
            <w:r w:rsidR="00876A95">
              <w:rPr>
                <w:rFonts w:ascii="Times New Roman" w:hAnsi="Times New Roman" w:cs="Times New Roman"/>
              </w:rPr>
              <w:t xml:space="preserve"> Ardından çalan </w:t>
            </w:r>
            <w:proofErr w:type="gramStart"/>
            <w:r w:rsidR="00876A95">
              <w:rPr>
                <w:rFonts w:ascii="Times New Roman" w:hAnsi="Times New Roman" w:cs="Times New Roman"/>
              </w:rPr>
              <w:t>…….</w:t>
            </w:r>
            <w:proofErr w:type="gramEnd"/>
            <w:r w:rsidR="00876A95">
              <w:rPr>
                <w:rFonts w:ascii="Times New Roman" w:hAnsi="Times New Roman" w:cs="Times New Roman"/>
              </w:rPr>
              <w:t xml:space="preserve">sesleriyle bir panik oluştu. </w:t>
            </w:r>
            <w:proofErr w:type="gramStart"/>
            <w:r w:rsidR="00876A95">
              <w:rPr>
                <w:rFonts w:ascii="Times New Roman" w:hAnsi="Times New Roman" w:cs="Times New Roman"/>
              </w:rPr>
              <w:t>…….</w:t>
            </w:r>
            <w:proofErr w:type="gramEnd"/>
            <w:r w:rsidR="00876A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76A95">
              <w:rPr>
                <w:rFonts w:ascii="Times New Roman" w:hAnsi="Times New Roman" w:cs="Times New Roman"/>
              </w:rPr>
              <w:t>gezen</w:t>
            </w:r>
            <w:proofErr w:type="gramEnd"/>
            <w:r w:rsidR="00876A95">
              <w:rPr>
                <w:rFonts w:ascii="Times New Roman" w:hAnsi="Times New Roman" w:cs="Times New Roman"/>
              </w:rPr>
              <w:t xml:space="preserve"> düşman gemileri bizi fark etti.</w:t>
            </w:r>
          </w:p>
          <w:p w:rsidR="00876A95" w:rsidRDefault="00876A95" w:rsidP="000C683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cümlelerdeki boşlukları metinde öğrendiğiniz kelimelerden uygun olanlarıyla doldurunuz.</w:t>
            </w:r>
          </w:p>
          <w:p w:rsidR="00876A95" w:rsidRDefault="00876A95" w:rsidP="000C683B">
            <w:pPr>
              <w:pStyle w:val="AralkYok"/>
              <w:rPr>
                <w:rFonts w:ascii="Times New Roman" w:hAnsi="Times New Roman" w:cs="Times New Roman"/>
              </w:rPr>
            </w:pPr>
            <w:r w:rsidRPr="00876A95">
              <w:rPr>
                <w:rFonts w:ascii="Times New Roman" w:hAnsi="Times New Roman" w:cs="Times New Roman"/>
                <w:b/>
              </w:rPr>
              <w:t>2-</w:t>
            </w:r>
            <w:r>
              <w:rPr>
                <w:rFonts w:ascii="Times New Roman" w:hAnsi="Times New Roman" w:cs="Times New Roman"/>
              </w:rPr>
              <w:t>Kazan- fiilini görülen geçmiş zaman kipinde 1. Çoğul kişiye göre çekimleyerek bir cümlede kullanınız.</w:t>
            </w:r>
          </w:p>
          <w:p w:rsidR="00561000" w:rsidRPr="00A8201C" w:rsidRDefault="00876A95" w:rsidP="00294600">
            <w:pPr>
              <w:pStyle w:val="AralkYok"/>
              <w:rPr>
                <w:rFonts w:ascii="Times New Roman" w:hAnsi="Times New Roman" w:cs="Times New Roman"/>
              </w:rPr>
            </w:pPr>
            <w:r w:rsidRPr="00876A95">
              <w:rPr>
                <w:rFonts w:ascii="Times New Roman" w:hAnsi="Times New Roman" w:cs="Times New Roman"/>
                <w:b/>
              </w:rPr>
              <w:t>3-</w:t>
            </w:r>
            <w:r>
              <w:rPr>
                <w:rFonts w:ascii="Times New Roman" w:hAnsi="Times New Roman" w:cs="Times New Roman"/>
              </w:rPr>
              <w:t>Nusret Matın gemisiyle ilgili birkaç cümlelik açıklayıcı bir paragraf yazınız.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68F3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5C66"/>
    <w:rsid w:val="003A7856"/>
    <w:rsid w:val="0049529D"/>
    <w:rsid w:val="004B11F9"/>
    <w:rsid w:val="004D142B"/>
    <w:rsid w:val="004F5197"/>
    <w:rsid w:val="00510705"/>
    <w:rsid w:val="00510E9B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6F5CF5"/>
    <w:rsid w:val="0072398D"/>
    <w:rsid w:val="007321D0"/>
    <w:rsid w:val="00732AAC"/>
    <w:rsid w:val="00756159"/>
    <w:rsid w:val="00767BEB"/>
    <w:rsid w:val="007B5EB2"/>
    <w:rsid w:val="007F2ED3"/>
    <w:rsid w:val="00850764"/>
    <w:rsid w:val="00876A95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C4094C"/>
    <w:rsid w:val="00C52D9E"/>
    <w:rsid w:val="00D2205F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2024-10-05T21:11:00Z</dcterms:created>
  <dcterms:modified xsi:type="dcterms:W3CDTF">2025-10-06T07:59:00Z</dcterms:modified>
</cp:coreProperties>
</file>