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137C8F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003A22">
              <w:rPr>
                <w:rFonts w:ascii="Times New Roman" w:hAnsi="Times New Roman" w:cs="Times New Roman"/>
              </w:rPr>
              <w:t>ağlık ve Spor / İkiz Kardeş: Müzik ve Şifa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491F31" w:rsidP="005F7C95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Sözcükte anlam,</w:t>
            </w:r>
            <w:r w:rsidR="005F7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137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anlatım bozuklukları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E070A5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003A22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B02EE7">
              <w:rPr>
                <w:rFonts w:ascii="Times New Roman" w:hAnsi="Times New Roman" w:cs="Times New Roman"/>
              </w:rPr>
              <w:t xml:space="preserve"> Nisan</w:t>
            </w:r>
            <w:r w:rsidR="00911922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2" w:rsidRPr="00003A22" w:rsidRDefault="00003A22" w:rsidP="00003A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T.7.3.4. Okuma stratejilerini kullanır.</w:t>
            </w:r>
          </w:p>
          <w:p w:rsidR="00003A22" w:rsidRPr="00003A22" w:rsidRDefault="00003A22" w:rsidP="00003A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T.7.3.5. Bağlamdan hareketle bilmediği kelime ve kelime gruplarının anlamını tahmin eder.                                                             </w:t>
            </w:r>
          </w:p>
          <w:p w:rsidR="00003A22" w:rsidRPr="00003A22" w:rsidRDefault="00003A22" w:rsidP="00003A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T.7.3.13. Anlatım bozukluklarını tespit eder.</w:t>
            </w:r>
          </w:p>
          <w:p w:rsidR="00003A22" w:rsidRPr="00003A22" w:rsidRDefault="00003A22" w:rsidP="00003A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T.7.3.19. Metinle ilgili soruları cevaplar.</w:t>
            </w:r>
          </w:p>
          <w:p w:rsidR="00137C8F" w:rsidRPr="00003A22" w:rsidRDefault="00003A22" w:rsidP="00003A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T.7.3.28. Okudukları ile ilgili çıkarımlarda bulunur.</w:t>
            </w:r>
          </w:p>
          <w:p w:rsidR="00003A22" w:rsidRPr="00003A22" w:rsidRDefault="00003A22" w:rsidP="00003A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</w:rPr>
              <w:t>T.7.4.4. Yazma stratejilerini uygular.</w:t>
            </w:r>
          </w:p>
          <w:p w:rsidR="00003A22" w:rsidRPr="00003A22" w:rsidRDefault="00003A22" w:rsidP="00003A22">
            <w:pPr>
              <w:pStyle w:val="AralkYok"/>
              <w:rPr>
                <w:sz w:val="16"/>
                <w:szCs w:val="16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</w:rPr>
              <w:t>T.7.2.2. Hazırlıksız konuşma yapar.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5F7C95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5F7C95">
              <w:rPr>
                <w:rFonts w:ascii="Times New Roman" w:hAnsi="Times New Roman" w:cs="Times New Roman"/>
                <w:bCs/>
                <w:color w:val="000000"/>
              </w:rPr>
              <w:t>evap, Sunuş, Buluş, Drama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BA568D">
            <w:pPr>
              <w:pStyle w:val="GvdeMetniGirintisi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6D4DF3" w:rsidRDefault="00137C8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;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DB3EB4">
              <w:rPr>
                <w:rFonts w:ascii="Times New Roman" w:hAnsi="Times New Roman"/>
                <w:sz w:val="22"/>
                <w:szCs w:val="22"/>
                <w:lang w:val="tr-TR" w:eastAsia="tr-TR"/>
              </w:rPr>
              <w:t>“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b</w:t>
            </w:r>
            <w:r w:rsidR="00003A22" w:rsidRP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iyolojik, sosyal, nöroloji, musiki, anksiyete, depresyon, kalori” terimlerinin anlamlarını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söyleyecekler. Getirilen görsellerin hangi terime ait olduğu belirlenerek derse hazırlık yapılacak. 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İkiz Kardeş: Müzik ve Şifa</w:t>
            </w:r>
            <w:r w:rsidR="00137C8F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adlı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metni işleyeceğiz. Metin 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önemli görülen yerlerin altını çizme yöntemiyle iki kez okutulacak.</w:t>
            </w:r>
          </w:p>
          <w:p w:rsidR="00F2432B" w:rsidRDefault="00F2432B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1.etkinlikte 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 geç</w:t>
            </w:r>
            <w:bookmarkStart w:id="0" w:name="_GoBack"/>
            <w:bookmarkEnd w:id="0"/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en ve anlamı verilen sözcüklerle sarmal bulmaca çözülecek. </w:t>
            </w:r>
          </w:p>
          <w:p w:rsidR="00965A9F" w:rsidRDefault="009D7845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2.etkinlikte 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sorular çözülecek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>.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Öğrencilerin metin içi ve metin dışı anlam kurması sağlanacak.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</w:p>
          <w:p w:rsidR="00965A9F" w:rsidRDefault="00003A22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3.etkinlikte m</w:t>
            </w:r>
            <w:r w:rsidRP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etinden yola çıkarak Türk İslam bilginlerinin ve Batılı bilim insanl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arının müzikle tedavi konusunda</w:t>
            </w:r>
            <w:r w:rsidRP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ki bakış açıla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rına yönelik bir konuşma yaptırılacak. Konuşmalarda metinde bulunan</w:t>
            </w:r>
            <w:r w:rsidRP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örneklere yer verip bu örneklerden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bir senteze ulaşılması istenecek.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4.etkinlikte 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metinden hareketle çıkarımlar yapılacak.</w:t>
            </w:r>
          </w:p>
          <w:p w:rsidR="00491F31" w:rsidRDefault="00F00E9C" w:rsidP="00491F3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5.etkinlikte </w:t>
            </w:r>
            <w:r w:rsidR="00491F31">
              <w:rPr>
                <w:rFonts w:ascii="Times New Roman" w:hAnsi="Times New Roman"/>
                <w:sz w:val="22"/>
                <w:szCs w:val="22"/>
                <w:lang w:val="tr-TR" w:eastAsia="tr-TR"/>
              </w:rPr>
              <w:t>anlatım bozukluklarının sebepleri belirlenecek.</w:t>
            </w:r>
          </w:p>
          <w:p w:rsidR="007C2307" w:rsidRPr="00491F31" w:rsidRDefault="00F2432B" w:rsidP="00491F3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491F31" w:rsidRPr="00491F31">
              <w:rPr>
                <w:rFonts w:ascii="Times New Roman" w:hAnsi="Times New Roman"/>
                <w:sz w:val="22"/>
                <w:szCs w:val="22"/>
                <w:lang w:val="tr-TR" w:eastAsia="tr-TR"/>
              </w:rPr>
              <w:t>Gelecek derse hazırlık olarak</w:t>
            </w:r>
            <w:r w:rsidR="00003A22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 xml:space="preserve"> boş bir sayfanın ortasına “engel-zor</w:t>
            </w:r>
            <w:r w:rsidR="00491F31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>luk-hayal” kelimelerini yazılması ve bu kelimelerin</w:t>
            </w:r>
            <w:r w:rsidR="00003A22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 xml:space="preserve"> uyandırdıklarından yola çık</w:t>
            </w:r>
            <w:r w:rsidR="00491F31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>ıl</w:t>
            </w:r>
            <w:r w:rsidR="00003A22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>arak</w:t>
            </w:r>
            <w:r w:rsidR="00491F31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 xml:space="preserve"> bir zihin haritası oluşturma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FC" w:rsidRDefault="00491F31" w:rsidP="00F0047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1-Müziğin iyileştirici gücüne örnekler veriniz.</w:t>
            </w:r>
          </w:p>
          <w:p w:rsidR="00491F31" w:rsidRPr="00A8201C" w:rsidRDefault="00491F31" w:rsidP="00F0047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2-Gerekszi sözcük kullanımı ve sözcüğün yanlış yerde kullanılmasına örnek olan iki cümle söyleyiniz.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A22"/>
    <w:rsid w:val="00021AD6"/>
    <w:rsid w:val="00036FE4"/>
    <w:rsid w:val="000566F6"/>
    <w:rsid w:val="00067840"/>
    <w:rsid w:val="00093F09"/>
    <w:rsid w:val="00095BFC"/>
    <w:rsid w:val="000968F3"/>
    <w:rsid w:val="000C62C9"/>
    <w:rsid w:val="000C683B"/>
    <w:rsid w:val="0012084C"/>
    <w:rsid w:val="00132E55"/>
    <w:rsid w:val="00137C8F"/>
    <w:rsid w:val="00141083"/>
    <w:rsid w:val="00162A52"/>
    <w:rsid w:val="00192302"/>
    <w:rsid w:val="001A5080"/>
    <w:rsid w:val="001B27AE"/>
    <w:rsid w:val="001D33FB"/>
    <w:rsid w:val="001E03EF"/>
    <w:rsid w:val="001F3686"/>
    <w:rsid w:val="0024575C"/>
    <w:rsid w:val="0024577C"/>
    <w:rsid w:val="00250881"/>
    <w:rsid w:val="002674E7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72A98"/>
    <w:rsid w:val="003A1F07"/>
    <w:rsid w:val="003A7856"/>
    <w:rsid w:val="00491F31"/>
    <w:rsid w:val="0049529D"/>
    <w:rsid w:val="004B11F9"/>
    <w:rsid w:val="004D142B"/>
    <w:rsid w:val="004F5197"/>
    <w:rsid w:val="00510705"/>
    <w:rsid w:val="00510E9B"/>
    <w:rsid w:val="00511AFC"/>
    <w:rsid w:val="005222B1"/>
    <w:rsid w:val="005530BC"/>
    <w:rsid w:val="00561000"/>
    <w:rsid w:val="00566AA7"/>
    <w:rsid w:val="0057278C"/>
    <w:rsid w:val="005814F7"/>
    <w:rsid w:val="005B3491"/>
    <w:rsid w:val="005B502D"/>
    <w:rsid w:val="005F6661"/>
    <w:rsid w:val="005F7C95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A5DA9"/>
    <w:rsid w:val="007B5EB2"/>
    <w:rsid w:val="007C2307"/>
    <w:rsid w:val="007F633E"/>
    <w:rsid w:val="00850764"/>
    <w:rsid w:val="00876A95"/>
    <w:rsid w:val="00884448"/>
    <w:rsid w:val="00894491"/>
    <w:rsid w:val="008A3C2C"/>
    <w:rsid w:val="008F581E"/>
    <w:rsid w:val="00911922"/>
    <w:rsid w:val="00935121"/>
    <w:rsid w:val="0096471F"/>
    <w:rsid w:val="00965A9F"/>
    <w:rsid w:val="009864D0"/>
    <w:rsid w:val="009947A1"/>
    <w:rsid w:val="009A34FC"/>
    <w:rsid w:val="009A4001"/>
    <w:rsid w:val="009D096C"/>
    <w:rsid w:val="009D7845"/>
    <w:rsid w:val="009E588F"/>
    <w:rsid w:val="00A07EF0"/>
    <w:rsid w:val="00A15DD1"/>
    <w:rsid w:val="00A27BBA"/>
    <w:rsid w:val="00A61A4C"/>
    <w:rsid w:val="00A72FC2"/>
    <w:rsid w:val="00A8201C"/>
    <w:rsid w:val="00AA2D3D"/>
    <w:rsid w:val="00AB1558"/>
    <w:rsid w:val="00B02EE7"/>
    <w:rsid w:val="00B24937"/>
    <w:rsid w:val="00B32FD9"/>
    <w:rsid w:val="00B43D00"/>
    <w:rsid w:val="00B84B28"/>
    <w:rsid w:val="00BA227B"/>
    <w:rsid w:val="00BA568D"/>
    <w:rsid w:val="00BB2A49"/>
    <w:rsid w:val="00BC0CF8"/>
    <w:rsid w:val="00BD7B99"/>
    <w:rsid w:val="00BE6C60"/>
    <w:rsid w:val="00C0182D"/>
    <w:rsid w:val="00C14D00"/>
    <w:rsid w:val="00C17431"/>
    <w:rsid w:val="00C3528D"/>
    <w:rsid w:val="00C4094C"/>
    <w:rsid w:val="00C52D9E"/>
    <w:rsid w:val="00C7464D"/>
    <w:rsid w:val="00CD5FE4"/>
    <w:rsid w:val="00D2205F"/>
    <w:rsid w:val="00D22750"/>
    <w:rsid w:val="00D36713"/>
    <w:rsid w:val="00D66655"/>
    <w:rsid w:val="00D83291"/>
    <w:rsid w:val="00D846DC"/>
    <w:rsid w:val="00D87A07"/>
    <w:rsid w:val="00DA6D0C"/>
    <w:rsid w:val="00DA7A3B"/>
    <w:rsid w:val="00DB3EB4"/>
    <w:rsid w:val="00DD36EE"/>
    <w:rsid w:val="00DD6054"/>
    <w:rsid w:val="00E070A5"/>
    <w:rsid w:val="00E118D2"/>
    <w:rsid w:val="00E11ECE"/>
    <w:rsid w:val="00E62317"/>
    <w:rsid w:val="00E93767"/>
    <w:rsid w:val="00E9599D"/>
    <w:rsid w:val="00EC5B22"/>
    <w:rsid w:val="00ED7673"/>
    <w:rsid w:val="00EE65C2"/>
    <w:rsid w:val="00F00471"/>
    <w:rsid w:val="00F00E9C"/>
    <w:rsid w:val="00F236E4"/>
    <w:rsid w:val="00F2432B"/>
    <w:rsid w:val="00F50868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2</cp:revision>
  <cp:lastPrinted>2022-11-26T18:04:00Z</cp:lastPrinted>
  <dcterms:created xsi:type="dcterms:W3CDTF">2025-04-19T19:40:00Z</dcterms:created>
  <dcterms:modified xsi:type="dcterms:W3CDTF">2025-04-19T19:40:00Z</dcterms:modified>
</cp:coreProperties>
</file>